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E62D" w14:textId="77777777" w:rsidR="001E63AA" w:rsidRDefault="001E63AA" w:rsidP="004F1DF1">
      <w:pPr>
        <w:pStyle w:val="Series"/>
      </w:pPr>
    </w:p>
    <w:p w14:paraId="3D3F1E52" w14:textId="77777777" w:rsidR="001E63AA" w:rsidRDefault="001E63AA" w:rsidP="004F1DF1">
      <w:pPr>
        <w:pStyle w:val="Series"/>
      </w:pPr>
    </w:p>
    <w:p w14:paraId="397AFEB0" w14:textId="011CA5C8" w:rsidR="001E63AA" w:rsidRDefault="001E63AA" w:rsidP="001E63AA">
      <w:pPr>
        <w:pStyle w:val="Series"/>
        <w:spacing w:after="0"/>
        <w:rPr>
          <w:color w:val="197C7D"/>
        </w:rPr>
      </w:pPr>
      <w:r>
        <w:rPr>
          <w:color w:val="197C7D"/>
        </w:rPr>
        <w:t>Safeguard Mechanism reform</w:t>
      </w:r>
      <w:r w:rsidR="00C01D20">
        <w:rPr>
          <w:color w:val="197C7D"/>
        </w:rPr>
        <w:t xml:space="preserve"> </w:t>
      </w:r>
      <w:r>
        <w:rPr>
          <w:color w:val="197C7D"/>
        </w:rPr>
        <w:t>consultation</w:t>
      </w:r>
      <w:r w:rsidR="00206E75">
        <w:rPr>
          <w:color w:val="197C7D"/>
        </w:rPr>
        <w:t xml:space="preserve"> -</w:t>
      </w:r>
      <w:r>
        <w:rPr>
          <w:color w:val="197C7D"/>
        </w:rPr>
        <w:t xml:space="preserve"> factsheet</w:t>
      </w:r>
      <w:r w:rsidR="00C01D20">
        <w:rPr>
          <w:color w:val="197C7D"/>
        </w:rPr>
        <w:t xml:space="preserve"> 9 </w:t>
      </w:r>
    </w:p>
    <w:p w14:paraId="3E898A0B" w14:textId="77777777" w:rsidR="001E63AA" w:rsidRDefault="001E63AA" w:rsidP="001E63AA">
      <w:pPr>
        <w:pStyle w:val="Series"/>
        <w:spacing w:before="40"/>
        <w:rPr>
          <w:color w:val="197C7D"/>
          <w:sz w:val="24"/>
          <w:szCs w:val="24"/>
        </w:rPr>
      </w:pPr>
      <w:r>
        <w:rPr>
          <w:color w:val="197C7D"/>
          <w:sz w:val="24"/>
          <w:szCs w:val="24"/>
        </w:rPr>
        <w:t>January 2023</w:t>
      </w:r>
    </w:p>
    <w:p w14:paraId="3D81953F" w14:textId="7E022D8E" w:rsidR="00B82095" w:rsidRPr="00206E75" w:rsidRDefault="000353FE" w:rsidP="00220618">
      <w:pPr>
        <w:pStyle w:val="Heading1"/>
        <w:rPr>
          <w:rFonts w:eastAsiaTheme="minorEastAsia"/>
          <w:color w:val="197C7D" w:themeColor="text2"/>
          <w:spacing w:val="0"/>
          <w:kern w:val="0"/>
          <w:sz w:val="36"/>
          <w:szCs w:val="36"/>
          <w:lang w:eastAsia="ja-JP"/>
        </w:rPr>
      </w:pPr>
      <w:r w:rsidRPr="00206E75">
        <w:rPr>
          <w:rFonts w:eastAsiaTheme="minorEastAsia"/>
          <w:color w:val="197C7D" w:themeColor="text2"/>
          <w:spacing w:val="0"/>
          <w:kern w:val="0"/>
          <w:sz w:val="36"/>
          <w:szCs w:val="36"/>
          <w:lang w:eastAsia="ja-JP"/>
        </w:rPr>
        <w:t>Legislative changes</w:t>
      </w:r>
    </w:p>
    <w:p w14:paraId="31AD97B7" w14:textId="52B090F9" w:rsidR="00DD0F30" w:rsidRDefault="00DD0F30" w:rsidP="00DD0F30">
      <w:pPr>
        <w:pStyle w:val="Heading2"/>
      </w:pPr>
      <w:r>
        <w:t xml:space="preserve">What are the overall </w:t>
      </w:r>
      <w:r w:rsidR="002A4D21">
        <w:t xml:space="preserve">proposed </w:t>
      </w:r>
      <w:r>
        <w:t xml:space="preserve">changes to the </w:t>
      </w:r>
      <w:r w:rsidRPr="0012109A">
        <w:t>Safeguard Mechanism</w:t>
      </w:r>
      <w:r w:rsidR="00F13ADA">
        <w:t>?</w:t>
      </w:r>
    </w:p>
    <w:p w14:paraId="6F17F56F" w14:textId="0EFE50C4" w:rsidR="0012109A" w:rsidRDefault="002A4D21" w:rsidP="0012109A">
      <w:r>
        <w:rPr>
          <w:rFonts w:eastAsia="Calibri" w:cs="Times New Roman"/>
        </w:rPr>
        <w:t>T</w:t>
      </w:r>
      <w:r w:rsidR="0012109A" w:rsidRPr="000353FE">
        <w:rPr>
          <w:rFonts w:eastAsia="Calibri" w:cs="Times New Roman"/>
        </w:rPr>
        <w:t>he Safeguard Mechanism will be reformed</w:t>
      </w:r>
      <w:r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</w:rPr>
        <w:t>to</w:t>
      </w:r>
      <w:r w:rsidR="0012109A" w:rsidRPr="00CB34CD">
        <w:t xml:space="preserve"> </w:t>
      </w:r>
      <w:r w:rsidR="00EC2DFA">
        <w:t xml:space="preserve">ensure Australia’s largest industrial emitters </w:t>
      </w:r>
      <w:r w:rsidR="00A67F87">
        <w:t xml:space="preserve">remain competitive in a decarbonising global economy and </w:t>
      </w:r>
      <w:r w:rsidR="00EC2DFA">
        <w:t>contribute to meeting our national climate goals</w:t>
      </w:r>
      <w:r>
        <w:rPr>
          <w:rFonts w:eastAsia="Calibri" w:cs="Times New Roman"/>
        </w:rPr>
        <w:t xml:space="preserve">. </w:t>
      </w:r>
      <w:r w:rsidRPr="0012109A">
        <w:t xml:space="preserve">The proposed changes include reducing Safeguard </w:t>
      </w:r>
      <w:r w:rsidR="00894C91">
        <w:t xml:space="preserve">facilities’ emission </w:t>
      </w:r>
      <w:r w:rsidRPr="0012109A">
        <w:t xml:space="preserve">baselines </w:t>
      </w:r>
      <w:r w:rsidR="00894C91">
        <w:t xml:space="preserve">on a steady and predictable path towards net zero, </w:t>
      </w:r>
      <w:r w:rsidRPr="0012109A">
        <w:t xml:space="preserve">and enabling Safeguard facilities that stay below their baselines to generate tradable credits, known as Safeguard Mechanism Credits </w:t>
      </w:r>
      <w:r w:rsidR="00E67A5F">
        <w:t>(</w:t>
      </w:r>
      <w:r w:rsidRPr="0012109A">
        <w:t>SMCs</w:t>
      </w:r>
      <w:r w:rsidR="00E67A5F">
        <w:t>)</w:t>
      </w:r>
      <w:r w:rsidRPr="0012109A">
        <w:t xml:space="preserve">. </w:t>
      </w:r>
    </w:p>
    <w:p w14:paraId="6BD7AC44" w14:textId="0A49AFE7" w:rsidR="0012109A" w:rsidRPr="0012109A" w:rsidRDefault="0012109A" w:rsidP="0012109A">
      <w:pPr>
        <w:pStyle w:val="Heading2"/>
      </w:pPr>
      <w:r>
        <w:t xml:space="preserve">What are the changes </w:t>
      </w:r>
      <w:r w:rsidR="007C12C4">
        <w:t>to primary legislation</w:t>
      </w:r>
      <w:r>
        <w:t>?</w:t>
      </w:r>
    </w:p>
    <w:p w14:paraId="43A3B7FC" w14:textId="7A7F6F14" w:rsidR="0012109A" w:rsidRPr="0012109A" w:rsidRDefault="0012109A" w:rsidP="0012109A">
      <w:r w:rsidRPr="0012109A">
        <w:t xml:space="preserve">The </w:t>
      </w:r>
      <w:r>
        <w:rPr>
          <w:color w:val="000000"/>
          <w:lang w:val="en-US"/>
        </w:rPr>
        <w:t>Safeguard Mechanism (Crediting) Amendment</w:t>
      </w:r>
      <w:r w:rsidRPr="004331CF">
        <w:rPr>
          <w:color w:val="000000"/>
          <w:lang w:val="en-US"/>
        </w:rPr>
        <w:t xml:space="preserve"> Bill 2022</w:t>
      </w:r>
      <w:r>
        <w:rPr>
          <w:color w:val="000000"/>
          <w:lang w:val="en-US"/>
        </w:rPr>
        <w:t xml:space="preserve"> </w:t>
      </w:r>
      <w:r w:rsidR="00894C91">
        <w:rPr>
          <w:color w:val="000000"/>
          <w:lang w:val="en-US"/>
        </w:rPr>
        <w:t xml:space="preserve">establishes </w:t>
      </w:r>
      <w:r w:rsidRPr="0012109A">
        <w:t>the crediting element of the reforms</w:t>
      </w:r>
      <w:r w:rsidR="00894C91">
        <w:t>. The detail</w:t>
      </w:r>
      <w:r w:rsidR="00A87E43">
        <w:t xml:space="preserve">ed implementation </w:t>
      </w:r>
      <w:r w:rsidR="00894C91">
        <w:t xml:space="preserve">will be done through </w:t>
      </w:r>
      <w:r w:rsidR="002A4D21">
        <w:rPr>
          <w:rFonts w:eastAsia="Calibri" w:cs="Times New Roman"/>
        </w:rPr>
        <w:t xml:space="preserve">subordinate </w:t>
      </w:r>
      <w:r w:rsidR="002A4D21" w:rsidRPr="00C52AB1">
        <w:rPr>
          <w:rFonts w:eastAsia="Calibri" w:cs="Times New Roman"/>
        </w:rPr>
        <w:t>legislative rules</w:t>
      </w:r>
      <w:r w:rsidRPr="0012109A">
        <w:t>.</w:t>
      </w:r>
      <w:r w:rsidR="00DD0F30">
        <w:t xml:space="preserve"> </w:t>
      </w:r>
      <w:r w:rsidR="00894C91">
        <w:t xml:space="preserve">Following </w:t>
      </w:r>
      <w:r w:rsidR="00DD0F30" w:rsidRPr="00DD0F30">
        <w:t xml:space="preserve">public consultation </w:t>
      </w:r>
      <w:r w:rsidR="001539D7">
        <w:t>in</w:t>
      </w:r>
      <w:r w:rsidR="00DD0F30" w:rsidRPr="00DD0F30">
        <w:t xml:space="preserve"> October 2022</w:t>
      </w:r>
      <w:r w:rsidR="001539D7">
        <w:t xml:space="preserve">, the Bill </w:t>
      </w:r>
      <w:r w:rsidR="00894C91">
        <w:t xml:space="preserve">was </w:t>
      </w:r>
      <w:r w:rsidR="001539D7">
        <w:t xml:space="preserve">introduced </w:t>
      </w:r>
      <w:r w:rsidR="00E67A5F">
        <w:t>in</w:t>
      </w:r>
      <w:r w:rsidR="001539D7">
        <w:t>to Parliament on 30 November 2022</w:t>
      </w:r>
      <w:r w:rsidR="00DD0F30" w:rsidRPr="00DD0F30">
        <w:t>.</w:t>
      </w:r>
    </w:p>
    <w:p w14:paraId="22D5D99E" w14:textId="7727B993" w:rsidR="0012109A" w:rsidRDefault="0012109A" w:rsidP="00606226">
      <w:r w:rsidRPr="00CB34CD">
        <w:t>The Bill amend</w:t>
      </w:r>
      <w:r w:rsidR="00A14768">
        <w:t>s</w:t>
      </w:r>
      <w:r w:rsidRPr="00CB34CD">
        <w:t xml:space="preserve"> the </w:t>
      </w:r>
      <w:r w:rsidRPr="009E3DFF">
        <w:rPr>
          <w:b/>
          <w:bCs/>
          <w:i/>
        </w:rPr>
        <w:t>National Greenhouse and Energy Reporting Act 2007</w:t>
      </w:r>
      <w:r w:rsidRPr="00CB34CD">
        <w:t xml:space="preserve"> (NGER Act)</w:t>
      </w:r>
      <w:r w:rsidR="00894C91">
        <w:t xml:space="preserve">. It </w:t>
      </w:r>
      <w:r w:rsidRPr="00770388">
        <w:t xml:space="preserve">provides for </w:t>
      </w:r>
      <w:r w:rsidR="00563303">
        <w:t>S</w:t>
      </w:r>
      <w:r w:rsidR="00563303" w:rsidRPr="00770388">
        <w:t xml:space="preserve">afeguard </w:t>
      </w:r>
      <w:r w:rsidRPr="00770388">
        <w:t xml:space="preserve">rules </w:t>
      </w:r>
      <w:r w:rsidR="00894C91">
        <w:t xml:space="preserve">to be made </w:t>
      </w:r>
      <w:r w:rsidRPr="00770388">
        <w:t>on detail</w:t>
      </w:r>
      <w:r w:rsidR="00894C91">
        <w:t xml:space="preserve">s </w:t>
      </w:r>
      <w:r>
        <w:t>s</w:t>
      </w:r>
      <w:r w:rsidRPr="00770388">
        <w:t xml:space="preserve">uch as </w:t>
      </w:r>
      <w:r w:rsidR="002D7745">
        <w:t>SMC</w:t>
      </w:r>
      <w:r w:rsidR="00894C91">
        <w:t xml:space="preserve"> </w:t>
      </w:r>
      <w:r w:rsidRPr="00770388">
        <w:t xml:space="preserve">application processes, </w:t>
      </w:r>
      <w:r w:rsidR="00894C91">
        <w:t xml:space="preserve">how to determine </w:t>
      </w:r>
      <w:r>
        <w:t xml:space="preserve">the </w:t>
      </w:r>
      <w:r w:rsidRPr="00770388">
        <w:t xml:space="preserve">number of units issued, and any rights of review. </w:t>
      </w:r>
      <w:r w:rsidR="00037BB1">
        <w:t xml:space="preserve">The Bill </w:t>
      </w:r>
      <w:r w:rsidR="00606226">
        <w:t xml:space="preserve">also </w:t>
      </w:r>
      <w:r w:rsidR="00037BB1">
        <w:t xml:space="preserve">adds a new objective to the NGER Act </w:t>
      </w:r>
      <w:r w:rsidR="00606226">
        <w:t xml:space="preserve">to </w:t>
      </w:r>
      <w:r w:rsidR="002437EE" w:rsidRPr="002437EE">
        <w:t xml:space="preserve">ensure net aggregate </w:t>
      </w:r>
      <w:r w:rsidR="009B3234" w:rsidRPr="009B3234">
        <w:t xml:space="preserve">covered emissions from </w:t>
      </w:r>
      <w:r w:rsidR="002437EE" w:rsidRPr="002437EE">
        <w:t>Safeguard</w:t>
      </w:r>
      <w:r w:rsidR="009B3234">
        <w:t xml:space="preserve"> facilities</w:t>
      </w:r>
      <w:r w:rsidR="002437EE" w:rsidRPr="002437EE">
        <w:t xml:space="preserve"> decline</w:t>
      </w:r>
      <w:r w:rsidR="00515DA8">
        <w:t xml:space="preserve">. The Bill </w:t>
      </w:r>
      <w:r w:rsidR="007A43DF">
        <w:t>strengthens the compliance regime</w:t>
      </w:r>
      <w:r w:rsidR="00E67A5F">
        <w:t xml:space="preserve"> by</w:t>
      </w:r>
      <w:r w:rsidR="007A43DF">
        <w:t xml:space="preserve"> including a provision to stop businesses restructuring themselves to avoid obligations and </w:t>
      </w:r>
      <w:r w:rsidR="00606226">
        <w:t>updat</w:t>
      </w:r>
      <w:r w:rsidR="007A43DF">
        <w:t xml:space="preserve">ing </w:t>
      </w:r>
      <w:r w:rsidR="00606226">
        <w:t>penalties for non-compliance.</w:t>
      </w:r>
    </w:p>
    <w:p w14:paraId="1B88E75B" w14:textId="403E0016" w:rsidR="0012109A" w:rsidRDefault="0012109A" w:rsidP="000353FE">
      <w:r>
        <w:t xml:space="preserve">The Bill </w:t>
      </w:r>
      <w:r w:rsidR="00A14768">
        <w:t>also amends</w:t>
      </w:r>
      <w:r>
        <w:t xml:space="preserve"> the </w:t>
      </w:r>
      <w:r w:rsidRPr="009E3DFF">
        <w:rPr>
          <w:b/>
          <w:bCs/>
          <w:i/>
        </w:rPr>
        <w:t>Australian National Registry of Emissions Units Act 2011</w:t>
      </w:r>
      <w:r w:rsidR="00726092">
        <w:t xml:space="preserve"> </w:t>
      </w:r>
      <w:r w:rsidRPr="00CB34CD">
        <w:t xml:space="preserve">to establish </w:t>
      </w:r>
      <w:r w:rsidR="00563303" w:rsidRPr="00CB34CD">
        <w:t xml:space="preserve">how </w:t>
      </w:r>
      <w:r w:rsidRPr="00CB34CD">
        <w:t>SMCs</w:t>
      </w:r>
      <w:r w:rsidR="00606226">
        <w:t xml:space="preserve"> </w:t>
      </w:r>
      <w:r w:rsidR="00563303" w:rsidRPr="00CB34CD">
        <w:t>are included in Australia's National Registry of Emissions Units</w:t>
      </w:r>
      <w:r w:rsidR="00563303">
        <w:t xml:space="preserve">, </w:t>
      </w:r>
      <w:r w:rsidR="00606226">
        <w:t xml:space="preserve">and ensure </w:t>
      </w:r>
      <w:r w:rsidR="00037BB1">
        <w:t xml:space="preserve">SMCs are treated the same as </w:t>
      </w:r>
      <w:r w:rsidR="00606226">
        <w:t>ACCUs</w:t>
      </w:r>
      <w:r w:rsidRPr="00CB34CD">
        <w:t>.</w:t>
      </w:r>
      <w:r>
        <w:t xml:space="preserve"> </w:t>
      </w:r>
      <w:r w:rsidR="00606226">
        <w:t xml:space="preserve">The Bill amends the </w:t>
      </w:r>
      <w:r w:rsidR="00606226" w:rsidRPr="001539D7">
        <w:rPr>
          <w:b/>
          <w:bCs/>
          <w:i/>
        </w:rPr>
        <w:t>Income Tax Assessment Act 1997</w:t>
      </w:r>
      <w:r w:rsidR="00606226" w:rsidRPr="0085285E">
        <w:rPr>
          <w:i/>
        </w:rPr>
        <w:t xml:space="preserve"> </w:t>
      </w:r>
      <w:r w:rsidR="00606226">
        <w:t xml:space="preserve">so that SMCs </w:t>
      </w:r>
      <w:r w:rsidR="00606226" w:rsidRPr="007138DC">
        <w:t>receive the same tax treatment as ACCUs</w:t>
      </w:r>
      <w:r w:rsidR="00606226">
        <w:t>.</w:t>
      </w:r>
    </w:p>
    <w:p w14:paraId="02C2F28D" w14:textId="660D9030" w:rsidR="0012109A" w:rsidRDefault="00F819F9" w:rsidP="0012109A">
      <w:pPr>
        <w:rPr>
          <w:rFonts w:eastAsia="Calibri" w:cs="Times New Roman"/>
        </w:rPr>
      </w:pPr>
      <w:r w:rsidRPr="00206E75">
        <w:t>The reformed Safeguard Mechanism will be the primary driver of emissions reductions at Safeguard facilities.</w:t>
      </w:r>
      <w:r w:rsidRPr="00F819F9">
        <w:rPr>
          <w:sz w:val="26"/>
          <w:szCs w:val="26"/>
        </w:rPr>
        <w:t xml:space="preserve"> </w:t>
      </w:r>
      <w:r w:rsidRPr="00206E75">
        <w:rPr>
          <w:rFonts w:eastAsia="Calibri" w:cs="Times New Roman"/>
        </w:rPr>
        <w:t>T</w:t>
      </w:r>
      <w:r w:rsidR="0012109A" w:rsidRPr="00F819F9">
        <w:rPr>
          <w:rFonts w:eastAsia="Calibri" w:cs="Times New Roman"/>
        </w:rPr>
        <w:t xml:space="preserve">he Bill </w:t>
      </w:r>
      <w:r w:rsidRPr="00F819F9">
        <w:rPr>
          <w:rFonts w:eastAsia="Calibri" w:cs="Times New Roman"/>
        </w:rPr>
        <w:t>allows rules to be made to reset the interactions between the Safeguard Mechanism and creation of ACCUs</w:t>
      </w:r>
      <w:r w:rsidR="0012109A" w:rsidRPr="0012109A">
        <w:rPr>
          <w:rFonts w:eastAsia="Calibri" w:cs="Times New Roman"/>
        </w:rPr>
        <w:t>.</w:t>
      </w:r>
      <w:r w:rsidR="00C52AB1" w:rsidRPr="00C52AB1">
        <w:t xml:space="preserve"> </w:t>
      </w:r>
      <w:r w:rsidR="00E67A5F">
        <w:rPr>
          <w:rFonts w:eastAsia="Calibri" w:cs="Times New Roman"/>
        </w:rPr>
        <w:t>It</w:t>
      </w:r>
      <w:r w:rsidR="00C52AB1">
        <w:rPr>
          <w:rFonts w:eastAsia="Calibri" w:cs="Times New Roman"/>
        </w:rPr>
        <w:t xml:space="preserve"> also a</w:t>
      </w:r>
      <w:r w:rsidR="00C52AB1" w:rsidRPr="00C52AB1">
        <w:rPr>
          <w:rFonts w:eastAsia="Calibri" w:cs="Times New Roman"/>
        </w:rPr>
        <w:t xml:space="preserve">llows for legislative rules to enable the </w:t>
      </w:r>
      <w:r w:rsidR="00037BB1">
        <w:rPr>
          <w:rFonts w:eastAsia="Calibri" w:cs="Times New Roman"/>
        </w:rPr>
        <w:t xml:space="preserve">proposed Safeguard cost containment measure, which involves the </w:t>
      </w:r>
      <w:r w:rsidR="00C52AB1">
        <w:rPr>
          <w:rFonts w:eastAsia="Calibri" w:cs="Times New Roman"/>
        </w:rPr>
        <w:t xml:space="preserve">sale </w:t>
      </w:r>
      <w:r w:rsidR="00C52AB1" w:rsidRPr="00C52AB1">
        <w:rPr>
          <w:rFonts w:eastAsia="Calibri" w:cs="Times New Roman"/>
        </w:rPr>
        <w:t xml:space="preserve">of units </w:t>
      </w:r>
      <w:r w:rsidR="00C52AB1">
        <w:rPr>
          <w:rFonts w:eastAsia="Calibri" w:cs="Times New Roman"/>
        </w:rPr>
        <w:t xml:space="preserve">from a </w:t>
      </w:r>
      <w:r w:rsidR="00E67A5F">
        <w:t>g</w:t>
      </w:r>
      <w:r w:rsidR="00C52AB1">
        <w:t xml:space="preserve">overnment </w:t>
      </w:r>
      <w:r w:rsidR="00E67A5F">
        <w:t>r</w:t>
      </w:r>
      <w:r w:rsidR="00563303">
        <w:t>egistry</w:t>
      </w:r>
      <w:r w:rsidR="00C52AB1">
        <w:rPr>
          <w:rFonts w:eastAsia="Calibri" w:cs="Times New Roman"/>
        </w:rPr>
        <w:t>.</w:t>
      </w:r>
    </w:p>
    <w:p w14:paraId="5B79326B" w14:textId="577FBB3A" w:rsidR="00603549" w:rsidRDefault="00603549" w:rsidP="00603549">
      <w:pPr>
        <w:pStyle w:val="Heading2"/>
      </w:pPr>
      <w:r>
        <w:t>Wh</w:t>
      </w:r>
      <w:r w:rsidR="000353FE">
        <w:t>at are the changes to subordinate legislation</w:t>
      </w:r>
      <w:r>
        <w:t>?</w:t>
      </w:r>
    </w:p>
    <w:p w14:paraId="19353157" w14:textId="1F87859F" w:rsidR="007C12C4" w:rsidRDefault="007C12C4" w:rsidP="000353FE">
      <w:bookmarkStart w:id="0" w:name="_Hlk122592941"/>
      <w:r w:rsidRPr="00812E66">
        <w:t xml:space="preserve">Many of the details of the </w:t>
      </w:r>
      <w:r>
        <w:t>Safeguard Mechanism</w:t>
      </w:r>
      <w:r w:rsidR="0067448D">
        <w:t xml:space="preserve"> </w:t>
      </w:r>
      <w:r w:rsidRPr="00812E66">
        <w:t xml:space="preserve">are </w:t>
      </w:r>
      <w:r w:rsidR="003210CE">
        <w:t>with</w:t>
      </w:r>
      <w:r w:rsidRPr="00812E66">
        <w:t xml:space="preserve">in </w:t>
      </w:r>
      <w:bookmarkEnd w:id="0"/>
      <w:r w:rsidRPr="00812E66">
        <w:t xml:space="preserve">the </w:t>
      </w:r>
      <w:r w:rsidRPr="00812E66">
        <w:rPr>
          <w:i/>
        </w:rPr>
        <w:t>National Greenhouse and Energy Reporting (Safeguard Mechanism) Rule 2015</w:t>
      </w:r>
      <w:r w:rsidR="00726092" w:rsidRPr="00812E66">
        <w:t xml:space="preserve"> </w:t>
      </w:r>
      <w:r w:rsidR="00E67A5F">
        <w:t>(</w:t>
      </w:r>
      <w:r w:rsidR="00726092">
        <w:t>the S</w:t>
      </w:r>
      <w:r w:rsidR="00726092" w:rsidRPr="00812E66">
        <w:t>afeguard rules</w:t>
      </w:r>
      <w:r w:rsidR="00E67A5F">
        <w:t>)</w:t>
      </w:r>
      <w:r>
        <w:rPr>
          <w:i/>
        </w:rPr>
        <w:t>.</w:t>
      </w:r>
      <w:r w:rsidR="00175A7E">
        <w:rPr>
          <w:i/>
        </w:rPr>
        <w:t xml:space="preserve"> </w:t>
      </w:r>
    </w:p>
    <w:p w14:paraId="3CFF0522" w14:textId="6F05B66C" w:rsidR="000353FE" w:rsidRDefault="000353FE" w:rsidP="000353FE">
      <w:r>
        <w:t xml:space="preserve">The </w:t>
      </w:r>
      <w:r w:rsidR="00D51129">
        <w:t xml:space="preserve">draft </w:t>
      </w:r>
      <w:r w:rsidRPr="009E3DFF">
        <w:rPr>
          <w:b/>
          <w:bCs/>
          <w:i/>
          <w:iCs/>
        </w:rPr>
        <w:t>National Greenhouse and Energy Reporting (Safeguard Mechanism) Amendment (Reforms) Rules 2023</w:t>
      </w:r>
      <w:r>
        <w:t xml:space="preserve"> implement</w:t>
      </w:r>
      <w:r w:rsidR="005E0B25">
        <w:t>s</w:t>
      </w:r>
      <w:r>
        <w:t xml:space="preserve"> the reformed Safeguard Mechanism as set out in the position paper. Key </w:t>
      </w:r>
      <w:r w:rsidR="00726092">
        <w:t xml:space="preserve">provisions </w:t>
      </w:r>
      <w:r>
        <w:t xml:space="preserve">include baseline setting arrangements for existing and new facilities, </w:t>
      </w:r>
      <w:r w:rsidR="00726092">
        <w:t xml:space="preserve">declining baselines over time so that Safeguard facilities contribute their proportional share of the national emissions reduction task, </w:t>
      </w:r>
      <w:r>
        <w:t>flexible compliance options including below</w:t>
      </w:r>
      <w:r w:rsidR="00726092">
        <w:t>-</w:t>
      </w:r>
      <w:r>
        <w:t>baseline crediting, interactions with ACCU projects and tailored treatment for trade-exposed facilities.</w:t>
      </w:r>
      <w:r w:rsidR="00EB57A5">
        <w:t xml:space="preserve"> The </w:t>
      </w:r>
      <w:r w:rsidR="00E67A5F">
        <w:t>g</w:t>
      </w:r>
      <w:r w:rsidR="00EB57A5">
        <w:t>overnment is seeking feedback on these draft rules.</w:t>
      </w:r>
    </w:p>
    <w:p w14:paraId="096761EA" w14:textId="018191E8" w:rsidR="000353FE" w:rsidRDefault="000353FE" w:rsidP="000353FE">
      <w:r>
        <w:lastRenderedPageBreak/>
        <w:t xml:space="preserve">The </w:t>
      </w:r>
      <w:r w:rsidRPr="009E3DFF">
        <w:rPr>
          <w:b/>
          <w:bCs/>
          <w:i/>
          <w:iCs/>
        </w:rPr>
        <w:t>Carbon Credits (Carbon Farming Initiative) Amendment (No. 1) Rules 2023</w:t>
      </w:r>
      <w:r>
        <w:t xml:space="preserve"> </w:t>
      </w:r>
      <w:r w:rsidR="00A14768">
        <w:t>prevents</w:t>
      </w:r>
      <w:r>
        <w:t xml:space="preserve"> the registration of new ACCU projects</w:t>
      </w:r>
      <w:r w:rsidR="00A14768">
        <w:t xml:space="preserve"> that would</w:t>
      </w:r>
      <w:r w:rsidR="00F819F9">
        <w:t xml:space="preserve"> solely</w:t>
      </w:r>
      <w:r w:rsidR="00A14768">
        <w:t xml:space="preserve"> credit </w:t>
      </w:r>
      <w:r w:rsidR="00217982">
        <w:t xml:space="preserve">reductions in </w:t>
      </w:r>
      <w:r>
        <w:t>covered emissions from Safeguard facilit</w:t>
      </w:r>
      <w:r w:rsidR="002E50FC">
        <w:t>ies</w:t>
      </w:r>
      <w:r>
        <w:t xml:space="preserve">. </w:t>
      </w:r>
      <w:r w:rsidR="00217982">
        <w:t xml:space="preserve">This means that in future, ACCU projects </w:t>
      </w:r>
      <w:r w:rsidR="00F21819">
        <w:t>can</w:t>
      </w:r>
      <w:r w:rsidR="00217982">
        <w:t xml:space="preserve"> only be </w:t>
      </w:r>
      <w:r w:rsidR="005E0B25">
        <w:t xml:space="preserve">registered if they </w:t>
      </w:r>
      <w:r w:rsidR="00217982">
        <w:t>reduc</w:t>
      </w:r>
      <w:r w:rsidR="005E0B25">
        <w:t>e emissions</w:t>
      </w:r>
      <w:r w:rsidR="00217982">
        <w:t xml:space="preserve"> </w:t>
      </w:r>
      <w:r w:rsidR="00F819F9">
        <w:t>not covered by the</w:t>
      </w:r>
      <w:r w:rsidR="00217982">
        <w:t xml:space="preserve"> Safeguard Mechanism</w:t>
      </w:r>
      <w:r w:rsidR="00F819F9">
        <w:t>, such as scope 2 emissions</w:t>
      </w:r>
      <w:r w:rsidR="00217982">
        <w:t xml:space="preserve">. </w:t>
      </w:r>
      <w:r>
        <w:t xml:space="preserve">These rules also </w:t>
      </w:r>
      <w:r w:rsidR="00217982">
        <w:t xml:space="preserve">allow </w:t>
      </w:r>
      <w:r w:rsidR="006B636E" w:rsidRPr="006B636E">
        <w:t xml:space="preserve">the </w:t>
      </w:r>
      <w:r w:rsidR="006B636E">
        <w:t xml:space="preserve">Clean Energy </w:t>
      </w:r>
      <w:r w:rsidR="006B636E" w:rsidRPr="006B636E">
        <w:t xml:space="preserve">Regulator to </w:t>
      </w:r>
      <w:r w:rsidR="00217982">
        <w:t xml:space="preserve">hold rather than </w:t>
      </w:r>
      <w:r w:rsidR="006B636E" w:rsidRPr="006B636E">
        <w:t xml:space="preserve">cancel ACCUs </w:t>
      </w:r>
      <w:r w:rsidR="006B636E">
        <w:t>purchased</w:t>
      </w:r>
      <w:r w:rsidR="006B636E" w:rsidRPr="006B636E">
        <w:t xml:space="preserve"> through carbon abatement contracts</w:t>
      </w:r>
      <w:r w:rsidR="006B636E">
        <w:t>,</w:t>
      </w:r>
      <w:r w:rsidR="006B636E" w:rsidRPr="006B636E">
        <w:t xml:space="preserve"> </w:t>
      </w:r>
      <w:r w:rsidR="00217982">
        <w:t xml:space="preserve">which is necessary </w:t>
      </w:r>
      <w:r w:rsidR="00175A7E">
        <w:t xml:space="preserve">to </w:t>
      </w:r>
      <w:r w:rsidR="00A14768">
        <w:t xml:space="preserve">support </w:t>
      </w:r>
      <w:r w:rsidR="00175A7E">
        <w:t>the proposed price containment approach</w:t>
      </w:r>
      <w:r w:rsidR="006B636E">
        <w:t xml:space="preserve">. </w:t>
      </w:r>
      <w:r w:rsidR="00EB57A5">
        <w:t>Following consultation on draft rules in October 2022, t</w:t>
      </w:r>
      <w:r w:rsidR="00F819F9">
        <w:t>hese rules were made on</w:t>
      </w:r>
      <w:r w:rsidR="005A1DD3">
        <w:t xml:space="preserve"> 9</w:t>
      </w:r>
      <w:r w:rsidR="00F819F9">
        <w:t xml:space="preserve"> January 2023.</w:t>
      </w:r>
    </w:p>
    <w:p w14:paraId="1E74D03B" w14:textId="48C0ABF0" w:rsidR="000353FE" w:rsidRDefault="000353FE" w:rsidP="000353FE">
      <w:r>
        <w:t>The</w:t>
      </w:r>
      <w:r w:rsidR="00D51129">
        <w:t xml:space="preserve"> draft</w:t>
      </w:r>
      <w:r>
        <w:t xml:space="preserve"> </w:t>
      </w:r>
      <w:r w:rsidRPr="009E3DFF">
        <w:rPr>
          <w:b/>
          <w:bCs/>
          <w:i/>
          <w:iCs/>
        </w:rPr>
        <w:t>Carbon Credits (Carbon Farming Initiative) Amendment (No. 2) Rules 2023</w:t>
      </w:r>
      <w:r>
        <w:t xml:space="preserve"> prevent</w:t>
      </w:r>
      <w:r w:rsidR="005E0B25">
        <w:t>s</w:t>
      </w:r>
      <w:r>
        <w:t xml:space="preserve"> new </w:t>
      </w:r>
      <w:r w:rsidR="00A335C2">
        <w:t>g</w:t>
      </w:r>
      <w:r w:rsidR="005E0B25">
        <w:t xml:space="preserve">overnment </w:t>
      </w:r>
      <w:r w:rsidR="00515DA8">
        <w:t xml:space="preserve">contracts for </w:t>
      </w:r>
      <w:r w:rsidR="005E0B25">
        <w:t xml:space="preserve">purchase of ACCUs from </w:t>
      </w:r>
      <w:r>
        <w:t xml:space="preserve">projects </w:t>
      </w:r>
      <w:r w:rsidR="00A14768">
        <w:t xml:space="preserve">that </w:t>
      </w:r>
      <w:r w:rsidR="0038323E">
        <w:t xml:space="preserve">solely </w:t>
      </w:r>
      <w:r w:rsidR="00A14768">
        <w:t xml:space="preserve">credit </w:t>
      </w:r>
      <w:r>
        <w:t xml:space="preserve">abatement of covered emissions </w:t>
      </w:r>
      <w:r w:rsidR="00A14768">
        <w:t xml:space="preserve">from </w:t>
      </w:r>
      <w:r>
        <w:t xml:space="preserve">Safeguard </w:t>
      </w:r>
      <w:r w:rsidR="00A14768">
        <w:t>facilities</w:t>
      </w:r>
      <w:r>
        <w:t xml:space="preserve">. These rules also enable the proposed </w:t>
      </w:r>
      <w:r w:rsidR="00726092">
        <w:t xml:space="preserve">cost </w:t>
      </w:r>
      <w:r>
        <w:t xml:space="preserve">containment </w:t>
      </w:r>
      <w:r w:rsidR="00726092">
        <w:t xml:space="preserve">measure </w:t>
      </w:r>
      <w:r>
        <w:t xml:space="preserve">by allowing the </w:t>
      </w:r>
      <w:r w:rsidR="00A335C2">
        <w:t>r</w:t>
      </w:r>
      <w:r>
        <w:t>egulator to sell ACCUs that have been purchased by the Commonwealth</w:t>
      </w:r>
      <w:r w:rsidR="005E0B25">
        <w:t>,</w:t>
      </w:r>
      <w:r>
        <w:t xml:space="preserve"> </w:t>
      </w:r>
      <w:r w:rsidR="00175A7E">
        <w:t>and</w:t>
      </w:r>
      <w:r w:rsidR="00175A7E" w:rsidRPr="00175A7E">
        <w:t xml:space="preserve"> </w:t>
      </w:r>
      <w:r w:rsidR="00175A7E">
        <w:t xml:space="preserve">setting the price </w:t>
      </w:r>
      <w:r w:rsidR="00C60E4F">
        <w:t xml:space="preserve">at which </w:t>
      </w:r>
      <w:r w:rsidR="00175A7E">
        <w:t xml:space="preserve">ACCUs </w:t>
      </w:r>
      <w:r w:rsidR="00726092">
        <w:t xml:space="preserve">would </w:t>
      </w:r>
      <w:r w:rsidR="00175A7E">
        <w:t>be sold</w:t>
      </w:r>
      <w:r>
        <w:t xml:space="preserve">. </w:t>
      </w:r>
      <w:r w:rsidR="00EB57A5">
        <w:t xml:space="preserve">The </w:t>
      </w:r>
      <w:r w:rsidR="00A335C2">
        <w:t>g</w:t>
      </w:r>
      <w:r w:rsidR="00EB57A5">
        <w:t>overnment is seeking feedback on these draft rules.</w:t>
      </w:r>
    </w:p>
    <w:p w14:paraId="41815BFB" w14:textId="6D2469A2" w:rsidR="00526507" w:rsidRDefault="000353FE" w:rsidP="00526507">
      <w:r w:rsidRPr="00FE2F50">
        <w:t>The</w:t>
      </w:r>
      <w:r w:rsidR="00D51129">
        <w:t xml:space="preserve"> draft</w:t>
      </w:r>
      <w:r w:rsidRPr="009E3DFF">
        <w:rPr>
          <w:b/>
          <w:bCs/>
          <w:i/>
          <w:iCs/>
        </w:rPr>
        <w:t xml:space="preserve"> Australian National Registry of Emissions Units Rules 2023</w:t>
      </w:r>
      <w:r w:rsidRPr="009E3DFF">
        <w:rPr>
          <w:b/>
          <w:bCs/>
        </w:rPr>
        <w:t xml:space="preserve"> </w:t>
      </w:r>
      <w:r>
        <w:t xml:space="preserve">would establish Safeguard Mechanism Credits as ‘eligible international emissions units’. This helps ensure </w:t>
      </w:r>
      <w:r w:rsidR="0085354E">
        <w:t xml:space="preserve">SMCs are </w:t>
      </w:r>
      <w:r>
        <w:t>treat</w:t>
      </w:r>
      <w:r w:rsidR="0085354E">
        <w:t xml:space="preserve">ed the same as ACCUs </w:t>
      </w:r>
      <w:r>
        <w:t xml:space="preserve">under other Commonwealth laws, </w:t>
      </w:r>
      <w:r w:rsidR="009E3DFF">
        <w:t>such as</w:t>
      </w:r>
      <w:r>
        <w:t xml:space="preserve"> GST. </w:t>
      </w:r>
      <w:r w:rsidR="00EB57A5">
        <w:t xml:space="preserve">The </w:t>
      </w:r>
      <w:r w:rsidR="00A335C2">
        <w:t>g</w:t>
      </w:r>
      <w:r w:rsidR="00EB57A5">
        <w:t>overnment is seeking feedback on these draft rules.</w:t>
      </w:r>
    </w:p>
    <w:p w14:paraId="4ACA2F50" w14:textId="4B56215A" w:rsidR="00A7035D" w:rsidRDefault="00A7035D" w:rsidP="00526507">
      <w:r>
        <w:t xml:space="preserve">In addition, some </w:t>
      </w:r>
      <w:r w:rsidR="00750E24">
        <w:t xml:space="preserve">technical amendments to </w:t>
      </w:r>
      <w:r>
        <w:t xml:space="preserve">regulations </w:t>
      </w:r>
      <w:r w:rsidR="00750E24">
        <w:t>will</w:t>
      </w:r>
      <w:r>
        <w:t xml:space="preserve"> be </w:t>
      </w:r>
      <w:r w:rsidR="00750E24">
        <w:t>needed</w:t>
      </w:r>
      <w:r w:rsidRPr="00A7035D">
        <w:t xml:space="preserve"> </w:t>
      </w:r>
      <w:r>
        <w:t xml:space="preserve">to support the operation </w:t>
      </w:r>
      <w:r w:rsidR="00E15123">
        <w:t xml:space="preserve">of the </w:t>
      </w:r>
      <w:r w:rsidR="00793C5C">
        <w:t>Safeguard reforms</w:t>
      </w:r>
      <w:r>
        <w:t xml:space="preserve">. </w:t>
      </w:r>
      <w:r w:rsidR="00793C5C">
        <w:t xml:space="preserve">Draft regulations </w:t>
      </w:r>
      <w:r>
        <w:t xml:space="preserve">will be released for consultation </w:t>
      </w:r>
      <w:r w:rsidR="008A39A0">
        <w:t>shortly</w:t>
      </w:r>
      <w:r>
        <w:t>.</w:t>
      </w:r>
      <w:r w:rsidR="00793C5C">
        <w:t xml:space="preserve"> These relate to:</w:t>
      </w:r>
    </w:p>
    <w:p w14:paraId="0AE14C37" w14:textId="2097FF0A" w:rsidR="00FE2F50" w:rsidRDefault="00221AE8" w:rsidP="00206E75">
      <w:pPr>
        <w:pStyle w:val="ListParagraph"/>
        <w:numPr>
          <w:ilvl w:val="0"/>
          <w:numId w:val="46"/>
        </w:numPr>
      </w:pPr>
      <w:r>
        <w:t>T</w:t>
      </w:r>
      <w:r w:rsidR="00FE2F50">
        <w:t xml:space="preserve">he </w:t>
      </w:r>
      <w:r w:rsidR="00FE2F50" w:rsidRPr="00793C5C">
        <w:rPr>
          <w:b/>
          <w:bCs/>
          <w:i/>
          <w:iCs/>
        </w:rPr>
        <w:t>National Greenhouse and Energy Reporting Regulations 2008</w:t>
      </w:r>
      <w:r w:rsidR="00793C5C">
        <w:t xml:space="preserve">, </w:t>
      </w:r>
      <w:r w:rsidR="00FE2F50">
        <w:t xml:space="preserve">to </w:t>
      </w:r>
      <w:r w:rsidR="006E51B0">
        <w:t xml:space="preserve">require </w:t>
      </w:r>
      <w:r w:rsidR="00F25F17">
        <w:t xml:space="preserve">that </w:t>
      </w:r>
      <w:r w:rsidR="006E51B0">
        <w:t xml:space="preserve">production information </w:t>
      </w:r>
      <w:r w:rsidR="00F25F17">
        <w:t>and estimate</w:t>
      </w:r>
      <w:r w:rsidR="00793C5C">
        <w:t xml:space="preserve">s of </w:t>
      </w:r>
      <w:r w:rsidR="00F25F17">
        <w:t>SMCs to be issued</w:t>
      </w:r>
      <w:r w:rsidR="00DA2EE8">
        <w:t xml:space="preserve"> </w:t>
      </w:r>
      <w:r w:rsidR="00A335C2">
        <w:t>are</w:t>
      </w:r>
      <w:r w:rsidR="00F25F17">
        <w:t xml:space="preserve"> reported for all Safeguard facilities</w:t>
      </w:r>
      <w:r w:rsidR="00DA2EE8">
        <w:t>, and to</w:t>
      </w:r>
      <w:r w:rsidR="00726092">
        <w:t xml:space="preserve"> </w:t>
      </w:r>
      <w:r w:rsidR="00FE3B15">
        <w:t>remove</w:t>
      </w:r>
      <w:r>
        <w:t xml:space="preserve"> </w:t>
      </w:r>
      <w:r w:rsidR="00F25F17">
        <w:t>civil penalties for excess emissions situations</w:t>
      </w:r>
      <w:r>
        <w:t xml:space="preserve"> </w:t>
      </w:r>
      <w:r w:rsidR="00793C5C">
        <w:t>as</w:t>
      </w:r>
      <w:r w:rsidR="003323AD">
        <w:t>, through the Bill amendments,</w:t>
      </w:r>
      <w:r w:rsidR="00793C5C">
        <w:t xml:space="preserve"> these will </w:t>
      </w:r>
      <w:r w:rsidR="00FE3B15">
        <w:t>now be</w:t>
      </w:r>
      <w:r>
        <w:t xml:space="preserve"> set out in the NGER Act. </w:t>
      </w:r>
    </w:p>
    <w:p w14:paraId="7469C5FA" w14:textId="609BF57B" w:rsidR="00FE2F50" w:rsidRPr="00526507" w:rsidRDefault="00FE2F50" w:rsidP="00206E75">
      <w:pPr>
        <w:pStyle w:val="ListParagraph"/>
        <w:numPr>
          <w:ilvl w:val="0"/>
          <w:numId w:val="46"/>
        </w:numPr>
      </w:pPr>
      <w:r>
        <w:t xml:space="preserve">The </w:t>
      </w:r>
      <w:r w:rsidRPr="00793C5C">
        <w:rPr>
          <w:b/>
          <w:bCs/>
          <w:i/>
          <w:iCs/>
        </w:rPr>
        <w:t>Australian National Registry of Emissions Units Regulations 2011</w:t>
      </w:r>
      <w:r w:rsidR="00793C5C">
        <w:t>,</w:t>
      </w:r>
      <w:r>
        <w:t xml:space="preserve"> </w:t>
      </w:r>
      <w:r w:rsidR="00FE3B15">
        <w:t>to ensure that</w:t>
      </w:r>
      <w:r w:rsidR="00221AE8">
        <w:t xml:space="preserve"> closure of </w:t>
      </w:r>
      <w:r w:rsidR="00A335C2">
        <w:t>r</w:t>
      </w:r>
      <w:r w:rsidR="00726092">
        <w:t xml:space="preserve">egistry </w:t>
      </w:r>
      <w:r w:rsidR="00221AE8">
        <w:t xml:space="preserve">accounts </w:t>
      </w:r>
      <w:r w:rsidR="00DA2EE8">
        <w:t xml:space="preserve">is </w:t>
      </w:r>
      <w:r w:rsidR="00726092">
        <w:t>consistent with the ANREU</w:t>
      </w:r>
      <w:r w:rsidR="00563303">
        <w:t> </w:t>
      </w:r>
      <w:r w:rsidR="00726092">
        <w:t xml:space="preserve">Act </w:t>
      </w:r>
      <w:r w:rsidR="00563303">
        <w:t>as</w:t>
      </w:r>
      <w:r w:rsidR="00726092">
        <w:t xml:space="preserve"> amended by the Bill</w:t>
      </w:r>
      <w:r w:rsidR="00221AE8">
        <w:t xml:space="preserve">. </w:t>
      </w:r>
    </w:p>
    <w:p w14:paraId="09BCE60A" w14:textId="77777777" w:rsidR="00B82095" w:rsidRPr="0080517C" w:rsidRDefault="000913B5" w:rsidP="0080517C">
      <w:pPr>
        <w:pStyle w:val="Heading2"/>
      </w:pPr>
      <w:r>
        <w:t>More</w:t>
      </w:r>
      <w:r w:rsidR="00B82095" w:rsidRPr="0080517C">
        <w:t xml:space="preserve"> information</w:t>
      </w:r>
    </w:p>
    <w:p w14:paraId="09E42625" w14:textId="43109EC8" w:rsidR="00F21AF4" w:rsidRDefault="00E13776" w:rsidP="00E67A5F">
      <w:r>
        <w:rPr>
          <w:lang w:eastAsia="ja-JP"/>
        </w:rPr>
        <w:t xml:space="preserve">Learn more </w:t>
      </w:r>
      <w:r w:rsidRPr="00DE6EB3">
        <w:rPr>
          <w:lang w:eastAsia="ja-JP"/>
        </w:rPr>
        <w:t xml:space="preserve">about </w:t>
      </w:r>
      <w:r w:rsidRPr="00DE6EB3">
        <w:t xml:space="preserve">the Safeguard Mechanism </w:t>
      </w:r>
      <w:r>
        <w:t>position paper</w:t>
      </w:r>
      <w:r w:rsidRPr="00DE6EB3">
        <w:t xml:space="preserve"> at </w:t>
      </w:r>
      <w:hyperlink r:id="rId12" w:history="1">
        <w:r w:rsidRPr="00206E75">
          <w:rPr>
            <w:rStyle w:val="Hyperlink"/>
            <w:b/>
            <w:bCs/>
          </w:rPr>
          <w:t>https://consult.industry.gov.au/safeguard-mechanism-reform-consultation-paper</w:t>
        </w:r>
      </w:hyperlink>
      <w:r w:rsidR="00206E75" w:rsidRPr="00206E75">
        <w:rPr>
          <w:rStyle w:val="Hyperlink"/>
          <w:b/>
          <w:bCs/>
        </w:rPr>
        <w:t>.</w:t>
      </w:r>
    </w:p>
    <w:sectPr w:rsidR="00F21AF4" w:rsidSect="00B2506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F741" w14:textId="77777777" w:rsidR="00F819F9" w:rsidRDefault="00F819F9">
      <w:r>
        <w:separator/>
      </w:r>
    </w:p>
    <w:p w14:paraId="070F64D0" w14:textId="77777777" w:rsidR="00F819F9" w:rsidRDefault="00F819F9"/>
    <w:p w14:paraId="749B3E20" w14:textId="77777777" w:rsidR="00F819F9" w:rsidRDefault="00F819F9"/>
  </w:endnote>
  <w:endnote w:type="continuationSeparator" w:id="0">
    <w:p w14:paraId="7F8939B1" w14:textId="77777777" w:rsidR="00F819F9" w:rsidRDefault="00F819F9">
      <w:r>
        <w:continuationSeparator/>
      </w:r>
    </w:p>
    <w:p w14:paraId="4E77288C" w14:textId="77777777" w:rsidR="00F819F9" w:rsidRDefault="00F819F9"/>
    <w:p w14:paraId="4C5B6D55" w14:textId="77777777" w:rsidR="00F819F9" w:rsidRDefault="00F819F9"/>
  </w:endnote>
  <w:endnote w:type="continuationNotice" w:id="1">
    <w:p w14:paraId="069D5026" w14:textId="77777777" w:rsidR="00F819F9" w:rsidRDefault="00F819F9">
      <w:pPr>
        <w:pStyle w:val="Footer"/>
      </w:pPr>
    </w:p>
    <w:p w14:paraId="5C18701C" w14:textId="77777777" w:rsidR="00F819F9" w:rsidRDefault="00F819F9"/>
    <w:p w14:paraId="3091C5C1" w14:textId="77777777" w:rsidR="00F819F9" w:rsidRDefault="00F81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4E37" w14:textId="77777777" w:rsidR="00F819F9" w:rsidRDefault="00F819F9" w:rsidP="000542B4">
    <w:pPr>
      <w:pStyle w:val="Footer"/>
    </w:pPr>
    <w:r>
      <w:t>Department of Climate Change, Energy, the Environment and Water</w:t>
    </w:r>
  </w:p>
  <w:p w14:paraId="52CA9874" w14:textId="77777777" w:rsidR="00F819F9" w:rsidRDefault="005A1DD3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819F9">
          <w:fldChar w:fldCharType="begin"/>
        </w:r>
        <w:r w:rsidR="00F819F9">
          <w:instrText xml:space="preserve"> PAGE   \* MERGEFORMAT </w:instrText>
        </w:r>
        <w:r w:rsidR="00F819F9">
          <w:fldChar w:fldCharType="separate"/>
        </w:r>
        <w:r w:rsidR="00A67F87">
          <w:rPr>
            <w:noProof/>
          </w:rPr>
          <w:t>2</w:t>
        </w:r>
        <w:r w:rsidR="00F819F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6262D" w14:textId="77777777" w:rsidR="00F819F9" w:rsidRDefault="00F819F9" w:rsidP="00EC4447">
        <w:pPr>
          <w:pStyle w:val="Footer"/>
        </w:pPr>
        <w:r w:rsidRPr="007B1F92">
          <w:t xml:space="preserve">Department of </w:t>
        </w:r>
        <w:r>
          <w:t>Climate Change, Energy, the Environment and Water</w:t>
        </w:r>
      </w:p>
      <w:p w14:paraId="0D736E0F" w14:textId="77777777" w:rsidR="00F819F9" w:rsidRDefault="00F819F9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6102" w14:textId="77777777" w:rsidR="00F819F9" w:rsidRDefault="00F819F9">
      <w:r>
        <w:separator/>
      </w:r>
    </w:p>
    <w:p w14:paraId="04D94646" w14:textId="77777777" w:rsidR="00F819F9" w:rsidRDefault="00F819F9"/>
    <w:p w14:paraId="1E6995EB" w14:textId="77777777" w:rsidR="00F819F9" w:rsidRDefault="00F819F9"/>
  </w:footnote>
  <w:footnote w:type="continuationSeparator" w:id="0">
    <w:p w14:paraId="1729F627" w14:textId="77777777" w:rsidR="00F819F9" w:rsidRDefault="00F819F9">
      <w:r>
        <w:continuationSeparator/>
      </w:r>
    </w:p>
    <w:p w14:paraId="3FD4FDCD" w14:textId="77777777" w:rsidR="00F819F9" w:rsidRDefault="00F819F9"/>
    <w:p w14:paraId="69196DD3" w14:textId="77777777" w:rsidR="00F819F9" w:rsidRDefault="00F819F9"/>
  </w:footnote>
  <w:footnote w:type="continuationNotice" w:id="1">
    <w:p w14:paraId="320DFA5E" w14:textId="77777777" w:rsidR="00F819F9" w:rsidRDefault="00F819F9">
      <w:pPr>
        <w:pStyle w:val="Footer"/>
      </w:pPr>
    </w:p>
    <w:p w14:paraId="5D4ABFAA" w14:textId="77777777" w:rsidR="00F819F9" w:rsidRDefault="00F819F9"/>
    <w:p w14:paraId="17A7BC98" w14:textId="77777777" w:rsidR="00F819F9" w:rsidRDefault="00F81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A883" w14:textId="4232B6F7" w:rsidR="00F819F9" w:rsidRDefault="00F819F9">
    <w:pPr>
      <w:pStyle w:val="Header"/>
    </w:pPr>
    <w:r w:rsidRPr="000353FE">
      <w:t>Safeguard Mechanism reform consultation factsheet</w:t>
    </w:r>
    <w:r>
      <w:t xml:space="preserve"> - legislative changes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2C8B" w14:textId="77777777" w:rsidR="00F819F9" w:rsidRDefault="00F819F9" w:rsidP="00036819">
    <w:pPr>
      <w:pStyle w:val="Foot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5209FD5" wp14:editId="1FA061A2">
          <wp:simplePos x="0" y="0"/>
          <wp:positionH relativeFrom="column">
            <wp:posOffset>-786765</wp:posOffset>
          </wp:positionH>
          <wp:positionV relativeFrom="page">
            <wp:posOffset>0</wp:posOffset>
          </wp:positionV>
          <wp:extent cx="7559675" cy="1633855"/>
          <wp:effectExtent l="0" t="0" r="3175" b="4445"/>
          <wp:wrapNone/>
          <wp:docPr id="1" name="Picture 1" descr="Department of Climate Change, Energy,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Climate Change, Energy,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27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2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B4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6C21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6B606F"/>
    <w:multiLevelType w:val="hybridMultilevel"/>
    <w:tmpl w:val="E0560262"/>
    <w:lvl w:ilvl="0" w:tplc="B9F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328D5"/>
    <w:multiLevelType w:val="multilevel"/>
    <w:tmpl w:val="47AAA7EE"/>
    <w:numStyleLink w:val="Numberlist"/>
  </w:abstractNum>
  <w:abstractNum w:abstractNumId="1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B103637"/>
    <w:multiLevelType w:val="multilevel"/>
    <w:tmpl w:val="47AAA7EE"/>
    <w:numStyleLink w:val="Numberlist"/>
  </w:abstractNum>
  <w:abstractNum w:abstractNumId="17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A15FE"/>
    <w:multiLevelType w:val="multilevel"/>
    <w:tmpl w:val="F36C17E8"/>
    <w:numStyleLink w:val="Headinglist"/>
  </w:abstractNum>
  <w:abstractNum w:abstractNumId="19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4F4729"/>
    <w:multiLevelType w:val="multilevel"/>
    <w:tmpl w:val="A0241B28"/>
    <w:numStyleLink w:val="List1"/>
  </w:abstractNum>
  <w:abstractNum w:abstractNumId="21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11B6"/>
    <w:multiLevelType w:val="hybridMultilevel"/>
    <w:tmpl w:val="938E127C"/>
    <w:lvl w:ilvl="0" w:tplc="83C23DE2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6800B4"/>
    <w:multiLevelType w:val="multilevel"/>
    <w:tmpl w:val="A0241B28"/>
    <w:numStyleLink w:val="List1"/>
  </w:abstractNum>
  <w:abstractNum w:abstractNumId="24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9DC"/>
    <w:multiLevelType w:val="multilevel"/>
    <w:tmpl w:val="47AAA7EE"/>
    <w:numStyleLink w:val="Numberlist"/>
  </w:abstractNum>
  <w:abstractNum w:abstractNumId="26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5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0A34"/>
    <w:multiLevelType w:val="hybridMultilevel"/>
    <w:tmpl w:val="38743F72"/>
    <w:lvl w:ilvl="0" w:tplc="B5506130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C8C10A1"/>
    <w:multiLevelType w:val="multilevel"/>
    <w:tmpl w:val="47AAA7EE"/>
    <w:numStyleLink w:val="Numberlist"/>
  </w:abstractNum>
  <w:abstractNum w:abstractNumId="39" w15:restartNumberingAfterBreak="0">
    <w:nsid w:val="733934B7"/>
    <w:multiLevelType w:val="multilevel"/>
    <w:tmpl w:val="A0241B28"/>
    <w:numStyleLink w:val="List1"/>
  </w:abstractNum>
  <w:abstractNum w:abstractNumId="40" w15:restartNumberingAfterBreak="0">
    <w:nsid w:val="7CC42CC5"/>
    <w:multiLevelType w:val="hybridMultilevel"/>
    <w:tmpl w:val="6DE6909A"/>
    <w:lvl w:ilvl="0" w:tplc="085ADD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12"/>
  </w:num>
  <w:num w:numId="5">
    <w:abstractNumId w:val="33"/>
  </w:num>
  <w:num w:numId="6">
    <w:abstractNumId w:val="34"/>
  </w:num>
  <w:num w:numId="7">
    <w:abstractNumId w:val="9"/>
  </w:num>
  <w:num w:numId="8">
    <w:abstractNumId w:val="15"/>
  </w:num>
  <w:num w:numId="9">
    <w:abstractNumId w:val="18"/>
  </w:num>
  <w:num w:numId="10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3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0"/>
  </w:num>
  <w:num w:numId="21">
    <w:abstractNumId w:val="16"/>
  </w:num>
  <w:num w:numId="22">
    <w:abstractNumId w:val="25"/>
  </w:num>
  <w:num w:numId="23">
    <w:abstractNumId w:val="38"/>
  </w:num>
  <w:num w:numId="24">
    <w:abstractNumId w:val="14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7"/>
  </w:num>
  <w:num w:numId="29">
    <w:abstractNumId w:val="32"/>
  </w:num>
  <w:num w:numId="30">
    <w:abstractNumId w:val="11"/>
  </w:num>
  <w:num w:numId="31">
    <w:abstractNumId w:val="35"/>
  </w:num>
  <w:num w:numId="32">
    <w:abstractNumId w:val="8"/>
  </w:num>
  <w:num w:numId="33">
    <w:abstractNumId w:val="29"/>
  </w:num>
  <w:num w:numId="34">
    <w:abstractNumId w:val="26"/>
  </w:num>
  <w:num w:numId="35">
    <w:abstractNumId w:val="17"/>
  </w:num>
  <w:num w:numId="36">
    <w:abstractNumId w:val="10"/>
  </w:num>
  <w:num w:numId="37">
    <w:abstractNumId w:val="19"/>
  </w:num>
  <w:num w:numId="38">
    <w:abstractNumId w:val="21"/>
  </w:num>
  <w:num w:numId="39">
    <w:abstractNumId w:val="14"/>
  </w:num>
  <w:num w:numId="40">
    <w:abstractNumId w:val="28"/>
  </w:num>
  <w:num w:numId="41">
    <w:abstractNumId w:val="30"/>
  </w:num>
  <w:num w:numId="42">
    <w:abstractNumId w:val="22"/>
  </w:num>
  <w:num w:numId="43">
    <w:abstractNumId w:val="37"/>
  </w:num>
  <w:num w:numId="44">
    <w:abstractNumId w:val="2"/>
  </w:num>
  <w:num w:numId="45">
    <w:abstractNumId w:val="14"/>
  </w:num>
  <w:num w:numId="46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87"/>
    <w:rsid w:val="000004AB"/>
    <w:rsid w:val="0000059E"/>
    <w:rsid w:val="0000066F"/>
    <w:rsid w:val="00010487"/>
    <w:rsid w:val="00020430"/>
    <w:rsid w:val="00021590"/>
    <w:rsid w:val="00025D1B"/>
    <w:rsid w:val="000266C4"/>
    <w:rsid w:val="000353FE"/>
    <w:rsid w:val="00036819"/>
    <w:rsid w:val="00037BB1"/>
    <w:rsid w:val="000542B4"/>
    <w:rsid w:val="000618F3"/>
    <w:rsid w:val="00066D0B"/>
    <w:rsid w:val="000710F4"/>
    <w:rsid w:val="000717D2"/>
    <w:rsid w:val="00074A56"/>
    <w:rsid w:val="00080827"/>
    <w:rsid w:val="0008277A"/>
    <w:rsid w:val="000845CC"/>
    <w:rsid w:val="000904C1"/>
    <w:rsid w:val="000913B5"/>
    <w:rsid w:val="000A5BA0"/>
    <w:rsid w:val="000B3924"/>
    <w:rsid w:val="000B3C44"/>
    <w:rsid w:val="000C0412"/>
    <w:rsid w:val="000C4558"/>
    <w:rsid w:val="000C5ECE"/>
    <w:rsid w:val="000D6C7A"/>
    <w:rsid w:val="000E455C"/>
    <w:rsid w:val="000E7803"/>
    <w:rsid w:val="000F0491"/>
    <w:rsid w:val="00113864"/>
    <w:rsid w:val="001207FA"/>
    <w:rsid w:val="0012109A"/>
    <w:rsid w:val="001233A8"/>
    <w:rsid w:val="0013173D"/>
    <w:rsid w:val="00143C67"/>
    <w:rsid w:val="00151544"/>
    <w:rsid w:val="001539D7"/>
    <w:rsid w:val="00175A7E"/>
    <w:rsid w:val="00182D11"/>
    <w:rsid w:val="00190D7E"/>
    <w:rsid w:val="001929D2"/>
    <w:rsid w:val="001A14AE"/>
    <w:rsid w:val="001A6968"/>
    <w:rsid w:val="001B4C5D"/>
    <w:rsid w:val="001D0EF3"/>
    <w:rsid w:val="001D6373"/>
    <w:rsid w:val="001E63AA"/>
    <w:rsid w:val="001E7DFB"/>
    <w:rsid w:val="001F6C6E"/>
    <w:rsid w:val="00203DE1"/>
    <w:rsid w:val="00206E75"/>
    <w:rsid w:val="0021687E"/>
    <w:rsid w:val="00217982"/>
    <w:rsid w:val="00220618"/>
    <w:rsid w:val="00221AE8"/>
    <w:rsid w:val="002248F9"/>
    <w:rsid w:val="00237A69"/>
    <w:rsid w:val="00241BFB"/>
    <w:rsid w:val="002437EE"/>
    <w:rsid w:val="00275B58"/>
    <w:rsid w:val="00276477"/>
    <w:rsid w:val="00284B53"/>
    <w:rsid w:val="002868A9"/>
    <w:rsid w:val="002A4D21"/>
    <w:rsid w:val="002B1FAF"/>
    <w:rsid w:val="002B4E1F"/>
    <w:rsid w:val="002D7745"/>
    <w:rsid w:val="002E3FD4"/>
    <w:rsid w:val="002E50FC"/>
    <w:rsid w:val="002F4595"/>
    <w:rsid w:val="00300AFD"/>
    <w:rsid w:val="003019D4"/>
    <w:rsid w:val="003032C0"/>
    <w:rsid w:val="003210CE"/>
    <w:rsid w:val="003323AD"/>
    <w:rsid w:val="0033302D"/>
    <w:rsid w:val="00336B60"/>
    <w:rsid w:val="0035108D"/>
    <w:rsid w:val="003569F9"/>
    <w:rsid w:val="00361C93"/>
    <w:rsid w:val="0036599C"/>
    <w:rsid w:val="00366721"/>
    <w:rsid w:val="00370990"/>
    <w:rsid w:val="0037640E"/>
    <w:rsid w:val="0037698A"/>
    <w:rsid w:val="0038323E"/>
    <w:rsid w:val="00392124"/>
    <w:rsid w:val="003937B8"/>
    <w:rsid w:val="003C35C2"/>
    <w:rsid w:val="003F73D7"/>
    <w:rsid w:val="00411260"/>
    <w:rsid w:val="00442630"/>
    <w:rsid w:val="0044304D"/>
    <w:rsid w:val="00446CB3"/>
    <w:rsid w:val="00474BB1"/>
    <w:rsid w:val="00495068"/>
    <w:rsid w:val="004C1575"/>
    <w:rsid w:val="004C2DA2"/>
    <w:rsid w:val="004D0888"/>
    <w:rsid w:val="004D41BE"/>
    <w:rsid w:val="004E21DE"/>
    <w:rsid w:val="004F1DF1"/>
    <w:rsid w:val="004F7336"/>
    <w:rsid w:val="005019C1"/>
    <w:rsid w:val="00503E8C"/>
    <w:rsid w:val="0051403A"/>
    <w:rsid w:val="00515287"/>
    <w:rsid w:val="005157CF"/>
    <w:rsid w:val="00515DA8"/>
    <w:rsid w:val="00526507"/>
    <w:rsid w:val="00531B5A"/>
    <w:rsid w:val="005457EA"/>
    <w:rsid w:val="00553E9D"/>
    <w:rsid w:val="0055447F"/>
    <w:rsid w:val="00555BEE"/>
    <w:rsid w:val="00563303"/>
    <w:rsid w:val="0056464B"/>
    <w:rsid w:val="00567DFC"/>
    <w:rsid w:val="00577F29"/>
    <w:rsid w:val="005A1DD3"/>
    <w:rsid w:val="005A48A6"/>
    <w:rsid w:val="005B613F"/>
    <w:rsid w:val="005C2BFD"/>
    <w:rsid w:val="005D1DC7"/>
    <w:rsid w:val="005E0B25"/>
    <w:rsid w:val="005F3F81"/>
    <w:rsid w:val="00603549"/>
    <w:rsid w:val="00606226"/>
    <w:rsid w:val="00606595"/>
    <w:rsid w:val="00607A21"/>
    <w:rsid w:val="00607A36"/>
    <w:rsid w:val="006156DF"/>
    <w:rsid w:val="00620BE1"/>
    <w:rsid w:val="00625D8D"/>
    <w:rsid w:val="006360F9"/>
    <w:rsid w:val="006371B7"/>
    <w:rsid w:val="00642F36"/>
    <w:rsid w:val="00646917"/>
    <w:rsid w:val="00656587"/>
    <w:rsid w:val="00660B1A"/>
    <w:rsid w:val="00665EDA"/>
    <w:rsid w:val="0067448D"/>
    <w:rsid w:val="006818AC"/>
    <w:rsid w:val="00693828"/>
    <w:rsid w:val="00696682"/>
    <w:rsid w:val="006B0030"/>
    <w:rsid w:val="006B636E"/>
    <w:rsid w:val="006D413F"/>
    <w:rsid w:val="006E51B0"/>
    <w:rsid w:val="006E74FC"/>
    <w:rsid w:val="006F6FE8"/>
    <w:rsid w:val="0070010C"/>
    <w:rsid w:val="0070464B"/>
    <w:rsid w:val="00721291"/>
    <w:rsid w:val="007250AA"/>
    <w:rsid w:val="007258B1"/>
    <w:rsid w:val="00725C8B"/>
    <w:rsid w:val="00726092"/>
    <w:rsid w:val="00750E24"/>
    <w:rsid w:val="00754CA3"/>
    <w:rsid w:val="00755125"/>
    <w:rsid w:val="0076549B"/>
    <w:rsid w:val="00793C5C"/>
    <w:rsid w:val="00793E18"/>
    <w:rsid w:val="007A43DF"/>
    <w:rsid w:val="007C0010"/>
    <w:rsid w:val="007C12C4"/>
    <w:rsid w:val="007E69AF"/>
    <w:rsid w:val="007F57CD"/>
    <w:rsid w:val="0080517C"/>
    <w:rsid w:val="00832638"/>
    <w:rsid w:val="00833D42"/>
    <w:rsid w:val="0085354E"/>
    <w:rsid w:val="00855E87"/>
    <w:rsid w:val="00865130"/>
    <w:rsid w:val="00892F53"/>
    <w:rsid w:val="00894C91"/>
    <w:rsid w:val="00895341"/>
    <w:rsid w:val="008A39A0"/>
    <w:rsid w:val="008E3B54"/>
    <w:rsid w:val="008F1712"/>
    <w:rsid w:val="008F382A"/>
    <w:rsid w:val="00902E92"/>
    <w:rsid w:val="0090743D"/>
    <w:rsid w:val="00911F4A"/>
    <w:rsid w:val="009162CF"/>
    <w:rsid w:val="00916FC3"/>
    <w:rsid w:val="00943779"/>
    <w:rsid w:val="00970743"/>
    <w:rsid w:val="00974CD6"/>
    <w:rsid w:val="009844EA"/>
    <w:rsid w:val="009A4102"/>
    <w:rsid w:val="009B3234"/>
    <w:rsid w:val="009C206F"/>
    <w:rsid w:val="009C37F9"/>
    <w:rsid w:val="009C3FA3"/>
    <w:rsid w:val="009C5CE4"/>
    <w:rsid w:val="009D7044"/>
    <w:rsid w:val="009E3DFF"/>
    <w:rsid w:val="00A022A9"/>
    <w:rsid w:val="00A04AFD"/>
    <w:rsid w:val="00A130F7"/>
    <w:rsid w:val="00A14768"/>
    <w:rsid w:val="00A15EE3"/>
    <w:rsid w:val="00A32860"/>
    <w:rsid w:val="00A335C2"/>
    <w:rsid w:val="00A62F99"/>
    <w:rsid w:val="00A65D84"/>
    <w:rsid w:val="00A67F87"/>
    <w:rsid w:val="00A7035D"/>
    <w:rsid w:val="00A77E8E"/>
    <w:rsid w:val="00A8157A"/>
    <w:rsid w:val="00A87E43"/>
    <w:rsid w:val="00AA0DDA"/>
    <w:rsid w:val="00AA1D89"/>
    <w:rsid w:val="00AD4067"/>
    <w:rsid w:val="00AE1E6E"/>
    <w:rsid w:val="00AE4763"/>
    <w:rsid w:val="00B0121B"/>
    <w:rsid w:val="00B0455B"/>
    <w:rsid w:val="00B11E02"/>
    <w:rsid w:val="00B1633F"/>
    <w:rsid w:val="00B2506E"/>
    <w:rsid w:val="00B3476F"/>
    <w:rsid w:val="00B43568"/>
    <w:rsid w:val="00B63D47"/>
    <w:rsid w:val="00B82095"/>
    <w:rsid w:val="00B85C9C"/>
    <w:rsid w:val="00B8774F"/>
    <w:rsid w:val="00B90975"/>
    <w:rsid w:val="00B90C93"/>
    <w:rsid w:val="00B93571"/>
    <w:rsid w:val="00B94CBD"/>
    <w:rsid w:val="00BA2806"/>
    <w:rsid w:val="00BC321A"/>
    <w:rsid w:val="00BD4F8E"/>
    <w:rsid w:val="00BE345B"/>
    <w:rsid w:val="00BF1A2A"/>
    <w:rsid w:val="00C01D20"/>
    <w:rsid w:val="00C33CCC"/>
    <w:rsid w:val="00C52AB1"/>
    <w:rsid w:val="00C60E4F"/>
    <w:rsid w:val="00C6128D"/>
    <w:rsid w:val="00C72B6C"/>
    <w:rsid w:val="00C73278"/>
    <w:rsid w:val="00C765C8"/>
    <w:rsid w:val="00C82029"/>
    <w:rsid w:val="00C9283A"/>
    <w:rsid w:val="00C95039"/>
    <w:rsid w:val="00CA4615"/>
    <w:rsid w:val="00CA7C6F"/>
    <w:rsid w:val="00CC647F"/>
    <w:rsid w:val="00CD361C"/>
    <w:rsid w:val="00CD3A6F"/>
    <w:rsid w:val="00CD6263"/>
    <w:rsid w:val="00CE7F36"/>
    <w:rsid w:val="00CF0B79"/>
    <w:rsid w:val="00CF3F30"/>
    <w:rsid w:val="00CF7D08"/>
    <w:rsid w:val="00D04A3C"/>
    <w:rsid w:val="00D22097"/>
    <w:rsid w:val="00D36C41"/>
    <w:rsid w:val="00D4039B"/>
    <w:rsid w:val="00D40B05"/>
    <w:rsid w:val="00D42F63"/>
    <w:rsid w:val="00D47D00"/>
    <w:rsid w:val="00D51129"/>
    <w:rsid w:val="00D55A85"/>
    <w:rsid w:val="00D750D0"/>
    <w:rsid w:val="00D87480"/>
    <w:rsid w:val="00D96372"/>
    <w:rsid w:val="00DA2EE8"/>
    <w:rsid w:val="00DB71FD"/>
    <w:rsid w:val="00DC453F"/>
    <w:rsid w:val="00DC57F0"/>
    <w:rsid w:val="00DD0F30"/>
    <w:rsid w:val="00DE546F"/>
    <w:rsid w:val="00DF241E"/>
    <w:rsid w:val="00E13776"/>
    <w:rsid w:val="00E15123"/>
    <w:rsid w:val="00E25A07"/>
    <w:rsid w:val="00E333DF"/>
    <w:rsid w:val="00E44E91"/>
    <w:rsid w:val="00E45CBB"/>
    <w:rsid w:val="00E61D9A"/>
    <w:rsid w:val="00E67A5F"/>
    <w:rsid w:val="00E83C41"/>
    <w:rsid w:val="00E9781D"/>
    <w:rsid w:val="00EA5D76"/>
    <w:rsid w:val="00EB57A5"/>
    <w:rsid w:val="00EC2925"/>
    <w:rsid w:val="00EC2DFA"/>
    <w:rsid w:val="00EC3CBA"/>
    <w:rsid w:val="00EC4447"/>
    <w:rsid w:val="00EC5579"/>
    <w:rsid w:val="00EC5C40"/>
    <w:rsid w:val="00ED774B"/>
    <w:rsid w:val="00EE0118"/>
    <w:rsid w:val="00EE49CE"/>
    <w:rsid w:val="00EE7C8D"/>
    <w:rsid w:val="00EF24B1"/>
    <w:rsid w:val="00EF3918"/>
    <w:rsid w:val="00F13ADA"/>
    <w:rsid w:val="00F21819"/>
    <w:rsid w:val="00F21AF4"/>
    <w:rsid w:val="00F25175"/>
    <w:rsid w:val="00F25F17"/>
    <w:rsid w:val="00F330C3"/>
    <w:rsid w:val="00F40745"/>
    <w:rsid w:val="00F63834"/>
    <w:rsid w:val="00F75F33"/>
    <w:rsid w:val="00F819F9"/>
    <w:rsid w:val="00F8370E"/>
    <w:rsid w:val="00F84236"/>
    <w:rsid w:val="00F857F3"/>
    <w:rsid w:val="00F9536E"/>
    <w:rsid w:val="00FB0408"/>
    <w:rsid w:val="00FC2CE4"/>
    <w:rsid w:val="00FC379E"/>
    <w:rsid w:val="00FD337C"/>
    <w:rsid w:val="00FD3BAE"/>
    <w:rsid w:val="00FD5236"/>
    <w:rsid w:val="00FD7D5B"/>
    <w:rsid w:val="00FE0F23"/>
    <w:rsid w:val="00FE2F50"/>
    <w:rsid w:val="00FE3B15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0F4D"/>
  <w15:docId w15:val="{6133FA78-42EC-46F6-A915-3FCC7125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B2506E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B2506E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197C7D" w:themeColor="text2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2506E"/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B2506E"/>
    <w:rPr>
      <w:rFonts w:ascii="Calibri" w:eastAsiaTheme="minorEastAsia" w:hAnsi="Calibri" w:cstheme="minorBidi"/>
      <w:b/>
      <w:bCs/>
      <w:color w:val="197C7D" w:themeColor="tex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5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241BFB"/>
    <w:pPr>
      <w:numPr>
        <w:ilvl w:val="1"/>
        <w:numId w:val="45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numPr>
        <w:ilvl w:val="2"/>
        <w:numId w:val="45"/>
      </w:numPr>
      <w:spacing w:before="120" w:after="120" w:line="264" w:lineRule="auto"/>
      <w:ind w:left="1247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526507"/>
    <w:pPr>
      <w:keepLines/>
      <w:spacing w:after="160" w:line="259" w:lineRule="auto"/>
      <w:ind w:right="662"/>
      <w:jc w:val="right"/>
    </w:pPr>
    <w:rPr>
      <w:rFonts w:asciiTheme="minorHAnsi" w:hAnsiTheme="minorHAns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5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793C5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sult.industry.gov.au/safeguard-mechanism-reform-consultation-pap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86DFDE75994F940B8C539C91BA04" ma:contentTypeVersion="14" ma:contentTypeDescription="Create a new document." ma:contentTypeScope="" ma:versionID="4141dd26a2ffeb935ee6c41f54aa8c34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8c4c6479-bb6a-4263-8159-fbb0afc5d491" xmlns:ns4="http://schemas.microsoft.com/sharepoint/v4" targetNamespace="http://schemas.microsoft.com/office/2006/metadata/properties" ma:root="true" ma:fieldsID="35a4915c153d951265893df6741f4417" ns1:_="" ns2:_="" ns3:_="" ns4:_="">
    <xsd:import namespace="http://schemas.microsoft.com/sharepoint/v3"/>
    <xsd:import namespace="a36bd50b-1532-4c22-b385-5c082c960938"/>
    <xsd:import namespace="8c4c6479-bb6a-4263-8159-fbb0afc5d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fbe3fec-c611-4c3e-9ea6-f54bcd1bbf7a}" ma:internalName="TaxCatchAll" ma:showField="CatchAllData" ma:web="8c4c6479-bb6a-4263-8159-fbb0afc5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9d8bf4-53b1-4391-9742-58425172aa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6479-bb6a-4263-8159-fbb0afc5d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Safeguard Mechanism</TermName>
          <TermId xmlns="http://schemas.microsoft.com/office/infopath/2007/PartnerControls">462066da-c297-4969-b9e8-878ecfcc0dda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38af007d-6d80-4dd0-9833-ef17489d7c7e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TaxCatchAll xmlns="a36bd50b-1532-4c22-b385-5c082c960938">
      <Value>1390</Value>
      <Value>234</Value>
      <Value>3</Value>
      <Value>295</Value>
      <Value>378</Value>
    </TaxCatchAll>
    <Comments xmlns="http://schemas.microsoft.com/sharepoint/v3">Cleared by AG and office</Comment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33C4DD35-4C79-48AE-B003-8E301F45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8c4c6479-bb6a-4263-8159-fbb0afc5d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www.w3.org/XML/1998/namespace"/>
    <ds:schemaRef ds:uri="http://purl.org/dc/elements/1.1/"/>
    <ds:schemaRef ds:uri="8c4c6479-bb6a-4263-8159-fbb0afc5d491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a36bd50b-1532-4c22-b385-5c082c960938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44B9FC-BE17-4C1F-BC78-7348F29087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2BBC17-332D-42E4-9C44-9F7AB661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5417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Ellis, Brendan</dc:creator>
  <cp:keywords/>
  <dc:description>Factsheet for position paper consultation</dc:description>
  <cp:lastModifiedBy>Jones, Kayleigh</cp:lastModifiedBy>
  <cp:revision>6</cp:revision>
  <cp:lastPrinted>2022-05-11T23:44:00Z</cp:lastPrinted>
  <dcterms:created xsi:type="dcterms:W3CDTF">2023-01-05T05:58:00Z</dcterms:created>
  <dcterms:modified xsi:type="dcterms:W3CDTF">2023-01-09T04:42:00Z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0x0101005BC986DFDE75994F940B8C539C91BA04</vt:lpwstr>
  </property>
  <property fmtid="{D5CDD505-2E9C-101B-9397-08002B2CF9AE}" pid="3" name="DocHub_Year">
    <vt:lpwstr>1390;#2022|4a777a70-2aa9-481e-a746-cca47d761c8e</vt:lpwstr>
  </property>
  <property fmtid="{D5CDD505-2E9C-101B-9397-08002B2CF9AE}" pid="4" name="DocHub_DocumentType">
    <vt:lpwstr>378;#Fact Sheet|38af007d-6d80-4dd0-9833-ef17489d7c7e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234;#Safeguard Mechanism|462066da-c297-4969-b9e8-878ecfcc0dda</vt:lpwstr>
  </property>
  <property fmtid="{D5CDD505-2E9C-101B-9397-08002B2CF9AE}" pid="7" name="DocHub_WorkActivity">
    <vt:lpwstr>295;#Communication|cd41d649-1e1a-44f5-b99b-946d42ce56d6</vt:lpwstr>
  </property>
</Properties>
</file>